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bidi w:val="0"/>
        <w:jc w:val="center"/>
      </w:pPr>
      <w:bookmarkStart w:id="6" w:name="_GoBack"/>
      <w:r>
        <w:rPr>
          <w:rFonts w:hint="eastAsia"/>
          <w:lang w:val="en-US" w:eastAsia="zh-CN"/>
        </w:rPr>
        <w:t>学生选择导师</w:t>
      </w:r>
      <w:r>
        <w:rPr>
          <w:rFonts w:hint="eastAsia"/>
        </w:rPr>
        <w:t>操作流程</w:t>
      </w:r>
    </w:p>
    <w:bookmarkEnd w:id="6"/>
    <w:p>
      <w:pPr>
        <w:keepNext/>
        <w:keepLines/>
        <w:spacing w:before="200" w:after="200" w:line="400" w:lineRule="exact"/>
        <w:outlineLvl w:val="0"/>
        <w:rPr>
          <w:rFonts w:ascii="宋体" w:hAnsi="宋体" w:eastAsia="宋体" w:cs="Times New Roman"/>
          <w:b/>
          <w:bCs/>
          <w:kern w:val="44"/>
          <w:szCs w:val="21"/>
        </w:rPr>
      </w:pPr>
      <w:r>
        <w:rPr>
          <w:rFonts w:hint="eastAsia" w:ascii="宋体" w:hAnsi="宋体" w:eastAsia="宋体" w:cs="Times New Roman"/>
          <w:b/>
          <w:bCs/>
          <w:kern w:val="44"/>
          <w:szCs w:val="21"/>
        </w:rPr>
        <w:t>1 系统的启动与进入</w:t>
      </w:r>
    </w:p>
    <w:p>
      <w:pPr>
        <w:keepNext/>
        <w:keepLines/>
        <w:spacing w:before="200" w:after="200" w:line="400" w:lineRule="exact"/>
        <w:outlineLvl w:val="1"/>
        <w:rPr>
          <w:rFonts w:ascii="宋体" w:hAnsi="宋体" w:eastAsia="宋体" w:cs="Times New Roman"/>
          <w:b/>
          <w:bCs/>
          <w:szCs w:val="21"/>
        </w:rPr>
      </w:pPr>
      <w:bookmarkStart w:id="0" w:name="_Toc41941773"/>
      <w:bookmarkStart w:id="1" w:name="_Toc313440140"/>
      <w:r>
        <w:rPr>
          <w:rFonts w:hint="eastAsia" w:ascii="宋体" w:hAnsi="宋体" w:eastAsia="宋体" w:cs="Times New Roman"/>
          <w:b/>
          <w:bCs/>
          <w:szCs w:val="21"/>
        </w:rPr>
        <w:t>1.1 浏览器设置</w:t>
      </w:r>
      <w:bookmarkEnd w:id="0"/>
      <w:bookmarkEnd w:id="1"/>
    </w:p>
    <w:p>
      <w:pPr>
        <w:rPr>
          <w:rFonts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</w:pPr>
      <w:bookmarkStart w:id="2" w:name="_Toc313440141"/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t>网上办事大厅只兼容使用 Chrome内核(版本50以上) 和 IE9及以上内核 的浏览器，推荐使用新版chrome浏览器或新版360极速浏览器</w:t>
      </w:r>
    </w:p>
    <w:p>
      <w:pPr>
        <w:keepNext/>
        <w:keepLines/>
        <w:spacing w:before="200" w:after="200" w:line="400" w:lineRule="exact"/>
        <w:outlineLvl w:val="1"/>
        <w:rPr>
          <w:rFonts w:ascii="宋体" w:hAnsi="宋体" w:eastAsia="宋体" w:cs="Times New Roman"/>
          <w:b/>
          <w:bCs/>
          <w:szCs w:val="21"/>
        </w:rPr>
      </w:pPr>
      <w:bookmarkStart w:id="3" w:name="_Toc41941774"/>
      <w:r>
        <w:rPr>
          <w:rFonts w:hint="eastAsia" w:ascii="宋体" w:hAnsi="宋体" w:eastAsia="宋体" w:cs="Times New Roman"/>
          <w:b/>
          <w:bCs/>
          <w:szCs w:val="21"/>
        </w:rPr>
        <w:t>1.2 登录主页面</w:t>
      </w:r>
      <w:bookmarkEnd w:id="2"/>
      <w:bookmarkEnd w:id="3"/>
    </w:p>
    <w:p>
      <w:pPr>
        <w:rPr>
          <w:rFonts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t>进入网上办事大厅：</w:t>
      </w:r>
      <w:r>
        <w:fldChar w:fldCharType="begin"/>
      </w:r>
      <w:r>
        <w:instrText xml:space="preserve"> HYPERLINK "http://ehall.seu.edu.cn" </w:instrText>
      </w:r>
      <w:r>
        <w:fldChar w:fldCharType="separate"/>
      </w:r>
      <w:r>
        <w:rPr>
          <w:rFonts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t>http://ehall.seu.edu.cn</w:t>
      </w:r>
      <w:r>
        <w:rPr>
          <w:rFonts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fldChar w:fldCharType="end"/>
      </w: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t xml:space="preserve"> </w:t>
      </w:r>
      <w:r>
        <w:rPr>
          <w:rFonts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t>输入本人一卡通号、密码，点击“服务与管理”登陆。如图1-</w:t>
      </w:r>
      <w:r>
        <w:rPr>
          <w:rFonts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t>2</w:t>
      </w: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t>-</w:t>
      </w:r>
      <w:r>
        <w:rPr>
          <w:rFonts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t>1</w:t>
      </w: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t>所示。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drawing>
          <wp:inline distT="0" distB="0" distL="0" distR="0">
            <wp:extent cx="5267325" cy="2486025"/>
            <wp:effectExtent l="0" t="0" r="3175" b="3175"/>
            <wp:docPr id="3" name="图片 3" descr="15854962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85496274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t>图1-</w:t>
      </w:r>
      <w:r>
        <w:rPr>
          <w:rFonts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t>2</w:t>
      </w: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t>-</w:t>
      </w:r>
      <w:r>
        <w:rPr>
          <w:rFonts w:ascii="微软雅黑" w:hAnsi="微软雅黑" w:eastAsia="微软雅黑" w:cs="微软雅黑"/>
          <w:color w:val="000000"/>
          <w:kern w:val="0"/>
          <w:sz w:val="18"/>
          <w:szCs w:val="18"/>
          <w:shd w:val="clear" w:color="auto" w:fill="FFFFFF"/>
          <w:lang w:bidi="ar"/>
        </w:rPr>
        <w:t>1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>
      <w:pPr>
        <w:keepNext/>
        <w:keepLines/>
        <w:spacing w:before="200" w:after="200" w:line="400" w:lineRule="exact"/>
        <w:outlineLvl w:val="0"/>
        <w:rPr>
          <w:rFonts w:ascii="宋体" w:hAnsi="宋体" w:eastAsia="宋体" w:cs="Times New Roman"/>
          <w:b/>
          <w:bCs/>
          <w:kern w:val="44"/>
          <w:szCs w:val="21"/>
        </w:rPr>
      </w:pPr>
      <w:bookmarkStart w:id="4" w:name="_Toc41941776"/>
      <w:r>
        <w:rPr>
          <w:rFonts w:hint="eastAsia" w:ascii="宋体" w:hAnsi="宋体" w:eastAsia="宋体" w:cs="Times New Roman"/>
          <w:b/>
          <w:bCs/>
          <w:kern w:val="44"/>
          <w:szCs w:val="21"/>
        </w:rPr>
        <w:t>2 系统的使用</w:t>
      </w:r>
      <w:bookmarkEnd w:id="4"/>
    </w:p>
    <w:p>
      <w:pPr>
        <w:rPr>
          <w:rFonts w:hint="eastAsia" w:ascii="宋体" w:hAnsi="宋体" w:eastAsia="宋体" w:cs="Times New Roman"/>
          <w:b/>
          <w:szCs w:val="21"/>
          <w:lang w:val="en-US" w:eastAsia="zh-CN"/>
        </w:rPr>
      </w:pPr>
      <w:bookmarkStart w:id="5" w:name="_Toc41941777"/>
      <w:r>
        <w:rPr>
          <w:rFonts w:hint="eastAsia" w:ascii="宋体" w:hAnsi="宋体" w:eastAsia="宋体" w:cs="Times New Roman"/>
          <w:b/>
          <w:szCs w:val="21"/>
        </w:rPr>
        <w:t xml:space="preserve">2.1 </w:t>
      </w:r>
      <w:r>
        <w:rPr>
          <w:rFonts w:hint="eastAsia" w:ascii="宋体" w:hAnsi="宋体" w:eastAsia="宋体" w:cs="Times New Roman"/>
          <w:b/>
          <w:szCs w:val="21"/>
          <w:lang w:val="en-US" w:eastAsia="zh-CN"/>
        </w:rPr>
        <w:t>本科导师</w:t>
      </w:r>
      <w:r>
        <w:rPr>
          <w:rFonts w:hint="eastAsia" w:ascii="宋体" w:hAnsi="宋体" w:eastAsia="宋体" w:cs="Times New Roman"/>
          <w:b/>
          <w:szCs w:val="21"/>
        </w:rPr>
        <w:t>进入</w:t>
      </w:r>
      <w:bookmarkEnd w:id="5"/>
      <w:r>
        <w:rPr>
          <w:rFonts w:hint="eastAsia" w:ascii="宋体" w:hAnsi="宋体" w:eastAsia="宋体" w:cs="Times New Roman"/>
          <w:b/>
          <w:szCs w:val="21"/>
          <w:lang w:val="en-US" w:eastAsia="zh-CN"/>
        </w:rPr>
        <w:t>选择导师-申请导师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1、在导师列表中选择导师作为自己的导师志愿，点击提交申请即可。（只能选择一个导师志愿）</w:t>
      </w:r>
    </w:p>
    <w:p>
      <w:r>
        <w:drawing>
          <wp:inline distT="0" distB="0" distL="114300" distR="114300">
            <wp:extent cx="5262880" cy="2713990"/>
            <wp:effectExtent l="0" t="0" r="7620" b="38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2051685"/>
            <wp:effectExtent l="0" t="0" r="381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3625850" cy="1485900"/>
            <wp:effectExtent l="0" t="0" r="635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25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2、点开我的志愿，可查看学生选择导师的确认状态，若为是则表示双选关系完成，也可以在我的导师中查看自己的本科导师</w:t>
      </w:r>
    </w:p>
    <w:p>
      <w:r>
        <w:drawing>
          <wp:inline distT="0" distB="0" distL="114300" distR="114300">
            <wp:extent cx="5266690" cy="1654175"/>
            <wp:effectExtent l="0" t="0" r="3810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1893570"/>
            <wp:effectExtent l="0" t="0" r="3810" b="1143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5MzZlMTVlODc4OGU1MTJhNDdkNzk1YWE4YjVhNjgifQ=="/>
  </w:docVars>
  <w:rsids>
    <w:rsidRoot w:val="5F410DDF"/>
    <w:rsid w:val="5F41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2023-10-13T02:39:00Z</dcterms:created>
  <dc:creator>shadow·moon</dc:creator>
  <cp:lastModifiedBy>shadow·moon</cp:lastModifiedBy>
  <dcterms:modified xsi:type="dcterms:W3CDTF">2023-10-13T02:53:54Z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E41C1A0684594A9D9AF82102ED51085A_11</vt:lpwstr>
  </property>
</Properties>
</file>